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44543" w14:paraId="6DF219CE" w14:textId="77777777" w:rsidTr="0026485F">
        <w:tc>
          <w:tcPr>
            <w:tcW w:w="9627" w:type="dxa"/>
          </w:tcPr>
          <w:p w14:paraId="5D53ABC9" w14:textId="23FE178D" w:rsidR="00E44543" w:rsidRPr="00073A33" w:rsidRDefault="00E44543" w:rsidP="00F45332">
            <w:pPr>
              <w:pStyle w:val="berschrift2"/>
              <w:tabs>
                <w:tab w:val="left" w:pos="285"/>
              </w:tabs>
              <w:outlineLvl w:val="1"/>
            </w:pPr>
            <w:bookmarkStart w:id="0" w:name="_Toc512583879"/>
            <w:r w:rsidRPr="00DE2983">
              <w:t>Arbeitshilfe – Verfahrensdokumentation zur Erfüllung der Informationspflichten</w:t>
            </w:r>
            <w:bookmarkEnd w:id="0"/>
          </w:p>
        </w:tc>
      </w:tr>
      <w:tr w:rsidR="00E44543" w14:paraId="00EDDF53" w14:textId="77777777" w:rsidTr="0026485F">
        <w:tc>
          <w:tcPr>
            <w:tcW w:w="9627" w:type="dxa"/>
          </w:tcPr>
          <w:p w14:paraId="7AC73ACD" w14:textId="77777777" w:rsidR="0026485F" w:rsidRDefault="0026485F" w:rsidP="0026485F">
            <w:pPr>
              <w:pStyle w:val="Listenabsatz"/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</w:p>
          <w:p w14:paraId="4C32D149" w14:textId="0C322522" w:rsidR="00E44543" w:rsidRPr="0026485F" w:rsidRDefault="00E44543" w:rsidP="0026485F">
            <w:pPr>
              <w:pStyle w:val="Listenabsatz"/>
              <w:tabs>
                <w:tab w:val="left" w:pos="454"/>
              </w:tabs>
              <w:ind w:left="454" w:hanging="454"/>
              <w:jc w:val="both"/>
              <w:rPr>
                <w:rFonts w:ascii="Arial" w:eastAsia="Times New Roman" w:hAnsi="Arial" w:cs="Arial"/>
                <w:b/>
              </w:rPr>
            </w:pPr>
            <w:r w:rsidRPr="0026485F">
              <w:rPr>
                <w:rFonts w:ascii="Arial" w:eastAsia="Times New Roman" w:hAnsi="Arial" w:cs="Arial"/>
                <w:b/>
              </w:rPr>
              <w:t>1.</w:t>
            </w:r>
            <w:r w:rsidR="0026485F" w:rsidRPr="0026485F">
              <w:rPr>
                <w:rFonts w:ascii="Arial" w:eastAsia="Times New Roman" w:hAnsi="Arial" w:cs="Arial"/>
                <w:b/>
              </w:rPr>
              <w:tab/>
            </w:r>
            <w:r w:rsidRPr="0026485F">
              <w:rPr>
                <w:rFonts w:ascii="Arial" w:eastAsia="Times New Roman" w:hAnsi="Arial" w:cs="Arial"/>
                <w:b/>
              </w:rPr>
              <w:t>Sind die personenbezogenen Daten bei der betroffenen Person selbst erhoben worden</w:t>
            </w:r>
            <w:r w:rsidR="0026485F" w:rsidRPr="0026485F">
              <w:rPr>
                <w:rFonts w:ascii="Arial" w:eastAsia="Times New Roman" w:hAnsi="Arial" w:cs="Arial"/>
                <w:b/>
              </w:rPr>
              <w:t xml:space="preserve"> </w:t>
            </w:r>
            <w:r w:rsidRPr="0026485F">
              <w:rPr>
                <w:rFonts w:ascii="Arial" w:eastAsia="Times New Roman" w:hAnsi="Arial" w:cs="Arial"/>
                <w:b/>
              </w:rPr>
              <w:t>oder bei einem Dritten?</w:t>
            </w:r>
          </w:p>
          <w:p w14:paraId="52D1A07B" w14:textId="77777777" w:rsidR="0026485F" w:rsidRPr="0026485F" w:rsidRDefault="0026485F" w:rsidP="0026485F">
            <w:pPr>
              <w:pStyle w:val="Listenabsatz"/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40EE4D11" w14:textId="18CA1574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u w:val="singl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  <w:r w:rsidR="0026485F" w:rsidRPr="0026485F">
              <w:rPr>
                <w:rFonts w:ascii="Arial" w:eastAsia="Times New Roman" w:hAnsi="Arial" w:cs="Arial"/>
              </w:rPr>
              <w:tab/>
            </w:r>
            <w:r w:rsidRPr="0026485F">
              <w:rPr>
                <w:rFonts w:ascii="Arial" w:eastAsia="Times New Roman" w:hAnsi="Arial" w:cs="Arial"/>
              </w:rPr>
              <w:t>Die personenbezogenen</w:t>
            </w:r>
            <w:r w:rsidRPr="00BD4EE1">
              <w:rPr>
                <w:rFonts w:ascii="Arial" w:eastAsia="Times New Roman" w:hAnsi="Arial" w:cs="Arial"/>
              </w:rPr>
              <w:t xml:space="preserve"> Daten sind bei der betroffenen Person selbst erhoben worden (Bei-spiele: Mandant, Kanzleibeschäftigte): ► wenn ja, </w:t>
            </w:r>
            <w:r w:rsidRPr="00BD4EE1">
              <w:rPr>
                <w:rFonts w:ascii="Arial" w:eastAsia="Times New Roman" w:hAnsi="Arial" w:cs="Arial"/>
                <w:u w:val="single"/>
              </w:rPr>
              <w:t>weiter mit Ziff. 2</w:t>
            </w:r>
          </w:p>
          <w:p w14:paraId="110F6C0E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00172FC4" w14:textId="77777777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u w:val="single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 xml:space="preserve">Die personenbezogenen Daten sind bei einem Dritten erhoben worden (Beispiel: Beim Mandanten werden die Daten eines Beschäftigten des Mandanten erhoben) ► wenn ja, </w:t>
            </w:r>
            <w:r w:rsidRPr="00BD4EE1">
              <w:rPr>
                <w:rFonts w:ascii="Arial" w:eastAsia="Times New Roman" w:hAnsi="Arial" w:cs="Arial"/>
                <w:u w:val="single"/>
              </w:rPr>
              <w:t>weiter mit</w:t>
            </w:r>
            <w:r w:rsidR="0026485F">
              <w:rPr>
                <w:rFonts w:ascii="Arial" w:eastAsia="Times New Roman" w:hAnsi="Arial" w:cs="Arial"/>
                <w:u w:val="single"/>
              </w:rPr>
              <w:t xml:space="preserve"> </w:t>
            </w:r>
            <w:r w:rsidRPr="00BD4EE1">
              <w:rPr>
                <w:rFonts w:ascii="Arial" w:eastAsia="Times New Roman" w:hAnsi="Arial" w:cs="Arial"/>
                <w:u w:val="single"/>
              </w:rPr>
              <w:t>Ziff. 3</w:t>
            </w:r>
          </w:p>
          <w:p w14:paraId="6BDFB9F5" w14:textId="7EA0F656" w:rsidR="0026485F" w:rsidRPr="0026485F" w:rsidRDefault="0026485F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u w:val="single"/>
              </w:rPr>
            </w:pPr>
          </w:p>
        </w:tc>
      </w:tr>
      <w:tr w:rsidR="00E44543" w14:paraId="745EF38A" w14:textId="77777777" w:rsidTr="0026485F">
        <w:tc>
          <w:tcPr>
            <w:tcW w:w="9627" w:type="dxa"/>
          </w:tcPr>
          <w:p w14:paraId="38EAA85B" w14:textId="362A3623" w:rsidR="0026485F" w:rsidRDefault="0026485F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</w:p>
          <w:p w14:paraId="409D153F" w14:textId="4827C62E" w:rsidR="00E44543" w:rsidRPr="00BD4EE1" w:rsidRDefault="00E44543" w:rsidP="0026485F">
            <w:pPr>
              <w:tabs>
                <w:tab w:val="left" w:pos="454"/>
              </w:tabs>
              <w:ind w:left="454" w:hanging="454"/>
              <w:jc w:val="both"/>
              <w:rPr>
                <w:rFonts w:ascii="Arial" w:eastAsia="Times New Roman" w:hAnsi="Arial" w:cs="Arial"/>
                <w:b/>
              </w:rPr>
            </w:pPr>
            <w:r w:rsidRPr="00BD4EE1">
              <w:rPr>
                <w:rFonts w:ascii="Arial" w:eastAsia="Times New Roman" w:hAnsi="Arial" w:cs="Arial"/>
                <w:b/>
              </w:rPr>
              <w:t>2.</w:t>
            </w:r>
            <w:r w:rsidR="0026485F">
              <w:rPr>
                <w:rFonts w:ascii="Arial" w:eastAsia="Times New Roman" w:hAnsi="Arial" w:cs="Arial"/>
                <w:b/>
              </w:rPr>
              <w:tab/>
            </w:r>
            <w:r w:rsidRPr="00BD4EE1">
              <w:rPr>
                <w:rFonts w:ascii="Arial" w:eastAsia="Times New Roman" w:hAnsi="Arial" w:cs="Arial"/>
                <w:b/>
              </w:rPr>
              <w:t>Direkterhebung: Datenerhebung bei der betroffenen Person</w:t>
            </w:r>
          </w:p>
          <w:p w14:paraId="6544DE2A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1E0BD31E" w14:textId="00EBF4F4" w:rsidR="00E44543" w:rsidRPr="00BD4EE1" w:rsidRDefault="00E44543" w:rsidP="0026485F">
            <w:pPr>
              <w:tabs>
                <w:tab w:val="left" w:pos="454"/>
              </w:tabs>
              <w:ind w:left="454" w:hanging="454"/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BD4EE1">
              <w:rPr>
                <w:rFonts w:ascii="Arial" w:eastAsia="Times New Roman" w:hAnsi="Arial" w:cs="Arial"/>
                <w:b/>
                <w:i/>
              </w:rPr>
              <w:t>2.1</w:t>
            </w:r>
            <w:r w:rsidR="0026485F">
              <w:rPr>
                <w:rFonts w:ascii="Arial" w:eastAsia="Times New Roman" w:hAnsi="Arial" w:cs="Arial"/>
                <w:b/>
                <w:i/>
              </w:rPr>
              <w:tab/>
            </w:r>
            <w:r w:rsidRPr="00BD4EE1">
              <w:rPr>
                <w:rFonts w:ascii="Arial" w:eastAsia="Times New Roman" w:hAnsi="Arial" w:cs="Arial"/>
                <w:b/>
                <w:i/>
              </w:rPr>
              <w:t xml:space="preserve">Es besteht </w:t>
            </w:r>
            <w:r w:rsidRPr="00BD4EE1">
              <w:rPr>
                <w:rFonts w:ascii="Arial" w:eastAsia="Times New Roman" w:hAnsi="Arial" w:cs="Arial"/>
                <w:b/>
                <w:i/>
                <w:u w:val="single"/>
              </w:rPr>
              <w:t>keine</w:t>
            </w:r>
            <w:r w:rsidRPr="00BD4EE1">
              <w:rPr>
                <w:rFonts w:ascii="Arial" w:eastAsia="Times New Roman" w:hAnsi="Arial" w:cs="Arial"/>
                <w:b/>
                <w:i/>
              </w:rPr>
              <w:t xml:space="preserve"> Informationspflicht, soweit</w:t>
            </w:r>
          </w:p>
          <w:p w14:paraId="46AEE1EA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3E1DBACE" w14:textId="37B0202E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die betroffene Person über die Information bereits verfügt,</w:t>
            </w:r>
          </w:p>
          <w:p w14:paraId="159440CA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7E294E23" w14:textId="0E77C360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 xml:space="preserve">die Informationserteilung eine vertrauliche Übermittlung von Daten an öffentliche Stellen gefährden würde </w:t>
            </w:r>
            <w:r w:rsidRPr="00BD4EE1">
              <w:rPr>
                <w:rFonts w:ascii="Arial" w:eastAsia="Times New Roman" w:hAnsi="Arial" w:cs="Arial"/>
                <w:u w:val="single"/>
              </w:rPr>
              <w:t>oder</w:t>
            </w:r>
          </w:p>
          <w:p w14:paraId="11A77E4B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66BB88D8" w14:textId="2E81DC3E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die Informationserteilung die Ausübung oder Verteidigung zivilrechtlicher Ansprüche beeinträchtigen würde und das berechtigte Interesse der betroffenen Person an der Informationserteilung nicht überwiegt.</w:t>
            </w:r>
          </w:p>
          <w:p w14:paraId="437DAE52" w14:textId="77777777" w:rsidR="0049459A" w:rsidRDefault="0049459A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47955030" w14:textId="06C40B7E" w:rsidR="0049459A" w:rsidRPr="00BD4EE1" w:rsidRDefault="0049459A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49459A">
              <w:rPr>
                <w:rFonts w:ascii="Arial" w:eastAsia="Times New Roman" w:hAnsi="Arial" w:cs="Arial"/>
              </w:rPr>
              <w:t>durch die Information</w:t>
            </w:r>
            <w:r>
              <w:rPr>
                <w:rFonts w:ascii="Arial" w:eastAsia="Times New Roman" w:hAnsi="Arial" w:cs="Arial"/>
              </w:rPr>
              <w:t>serteilung</w:t>
            </w:r>
            <w:r w:rsidRPr="0049459A">
              <w:rPr>
                <w:rFonts w:ascii="Arial" w:eastAsia="Times New Roman" w:hAnsi="Arial" w:cs="Arial"/>
              </w:rPr>
              <w:t xml:space="preserve"> die öffentliche Sicherheit oder Ordnung gefährdet würden</w:t>
            </w:r>
            <w:r>
              <w:rPr>
                <w:rFonts w:ascii="Arial" w:eastAsia="Times New Roman" w:hAnsi="Arial" w:cs="Arial"/>
              </w:rPr>
              <w:t xml:space="preserve"> und </w:t>
            </w:r>
            <w:r w:rsidRPr="0049459A">
              <w:rPr>
                <w:rFonts w:ascii="Arial" w:eastAsia="Times New Roman" w:hAnsi="Arial" w:cs="Arial"/>
              </w:rPr>
              <w:t>die Interessen des Verantwortlichen an der Nichterteilung der Information die Interessen der betroffenen Person überwiegen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46321775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36414A32" w14:textId="54570924" w:rsidR="00E44543" w:rsidRPr="00BD4EE1" w:rsidRDefault="00E44543" w:rsidP="0026485F">
            <w:pPr>
              <w:tabs>
                <w:tab w:val="left" w:pos="454"/>
              </w:tabs>
              <w:ind w:left="454" w:hanging="454"/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BD4EE1">
              <w:rPr>
                <w:rFonts w:ascii="Arial" w:eastAsia="Times New Roman" w:hAnsi="Arial" w:cs="Arial"/>
                <w:b/>
                <w:i/>
              </w:rPr>
              <w:t>2.2</w:t>
            </w:r>
            <w:r w:rsidR="0026485F">
              <w:rPr>
                <w:rFonts w:ascii="Arial" w:eastAsia="Times New Roman" w:hAnsi="Arial" w:cs="Arial"/>
                <w:b/>
                <w:i/>
              </w:rPr>
              <w:tab/>
            </w:r>
            <w:r w:rsidRPr="00BD4EE1">
              <w:rPr>
                <w:rFonts w:ascii="Arial" w:eastAsia="Times New Roman" w:hAnsi="Arial" w:cs="Arial"/>
                <w:b/>
                <w:i/>
              </w:rPr>
              <w:t>Ist die Informationspflicht nicht gem. Ziff. 2.1 ausgeschlossen, müssen der betroffenen Person folgende Informationen mitgeteilt werden:</w:t>
            </w:r>
          </w:p>
          <w:p w14:paraId="01C841A6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4AAA0582" w14:textId="75092E65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Verantwortlicher und Vertreter: Name und Kontaktdaten des Verantwortlichen und ggf. seines Vertreters, ggf. Firmenname (§ 17 HGB) oder Vereinsname (§ 57 BGB)</w:t>
            </w:r>
            <w:r w:rsidR="00F45332">
              <w:rPr>
                <w:rFonts w:ascii="Arial" w:eastAsia="Times New Roman" w:hAnsi="Arial" w:cs="Arial"/>
              </w:rPr>
              <w:t xml:space="preserve">. </w:t>
            </w:r>
            <w:r w:rsidR="00F45332" w:rsidRPr="00F45332">
              <w:rPr>
                <w:rFonts w:ascii="Arial" w:eastAsia="Times New Roman" w:hAnsi="Arial" w:cs="Arial"/>
              </w:rPr>
              <w:t>Dabei ist zu beachten, dass die DSGVO hier mit „Vertreter“ in Art. 4 Nr. 17 die Person meint, die durch den Verantwortlichen außerhalb der EU gemäß Art. 27 DSGVO bestellt wurde.</w:t>
            </w:r>
          </w:p>
          <w:p w14:paraId="77A2314D" w14:textId="77777777" w:rsidR="00E44543" w:rsidRPr="00BD4EE1" w:rsidRDefault="00E44543" w:rsidP="0026485F">
            <w:pPr>
              <w:pStyle w:val="Listenabsatz"/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74CF4058" w14:textId="751D12AE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Kontaktdaten des Datenschutzbeauftragten, sofern vorhanden (funktionsbezogene, nicht-personifizierte E-Mail-Adresse ist ausreichend, unter der der Datenschutzbeauftragte</w:t>
            </w:r>
            <w:r w:rsidR="0026485F">
              <w:rPr>
                <w:rFonts w:ascii="Arial" w:eastAsia="Times New Roman" w:hAnsi="Arial" w:cs="Arial"/>
              </w:rPr>
              <w:t xml:space="preserve"> </w:t>
            </w:r>
            <w:r w:rsidRPr="00BD4EE1">
              <w:rPr>
                <w:rFonts w:ascii="Arial" w:eastAsia="Times New Roman" w:hAnsi="Arial" w:cs="Arial"/>
              </w:rPr>
              <w:t xml:space="preserve">erreichbar ist, z. B. </w:t>
            </w:r>
            <w:proofErr w:type="spellStart"/>
            <w:r w:rsidRPr="00BD4EE1">
              <w:rPr>
                <w:rFonts w:ascii="Arial" w:eastAsia="Times New Roman" w:hAnsi="Arial" w:cs="Arial"/>
              </w:rPr>
              <w:t>datenschutz</w:t>
            </w:r>
            <w:proofErr w:type="spellEnd"/>
            <w:proofErr w:type="gramStart"/>
            <w:r w:rsidRPr="00BD4EE1">
              <w:rPr>
                <w:rFonts w:ascii="Arial" w:eastAsia="Times New Roman" w:hAnsi="Arial" w:cs="Arial"/>
              </w:rPr>
              <w:t>@....</w:t>
            </w:r>
            <w:proofErr w:type="gramEnd"/>
            <w:r w:rsidRPr="00BD4EE1">
              <w:rPr>
                <w:rFonts w:ascii="Arial" w:eastAsia="Times New Roman" w:hAnsi="Arial" w:cs="Arial"/>
              </w:rPr>
              <w:t>.de)</w:t>
            </w:r>
          </w:p>
          <w:p w14:paraId="4DE46AED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0A9706F3" w14:textId="1656EA9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Zwecke und Rechtsgrundlagen der Datenverarbeitung (z. B. Zweck: Erfüllung des</w:t>
            </w:r>
            <w:r w:rsidR="0026485F">
              <w:rPr>
                <w:rFonts w:ascii="Arial" w:eastAsia="Times New Roman" w:hAnsi="Arial" w:cs="Arial"/>
              </w:rPr>
              <w:t xml:space="preserve"> </w:t>
            </w:r>
            <w:r w:rsidRPr="00BD4EE1">
              <w:rPr>
                <w:rFonts w:ascii="Arial" w:eastAsia="Times New Roman" w:hAnsi="Arial" w:cs="Arial"/>
              </w:rPr>
              <w:t>Mandatsvertrages, Rechtsgrundlage: Art. 6 Abs. 1 Buchst. b) DSGVO)</w:t>
            </w:r>
          </w:p>
          <w:p w14:paraId="5EF24828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60CAA9A8" w14:textId="4E087981" w:rsidR="00E44543" w:rsidRPr="00BD4EE1" w:rsidRDefault="00E44543" w:rsidP="0026485F">
            <w:pPr>
              <w:pStyle w:val="Listenabsatz"/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Ggf. die „berechtigten Interessen“, wenn Rechtsgrundlage der Datenverarbeitung die Wahrung</w:t>
            </w:r>
            <w:r w:rsidR="0026485F">
              <w:rPr>
                <w:rFonts w:ascii="Arial" w:eastAsia="Times New Roman" w:hAnsi="Arial" w:cs="Arial"/>
              </w:rPr>
              <w:t xml:space="preserve"> </w:t>
            </w:r>
            <w:r w:rsidRPr="00BD4EE1">
              <w:rPr>
                <w:rFonts w:ascii="Arial" w:eastAsia="Times New Roman" w:hAnsi="Arial" w:cs="Arial"/>
              </w:rPr>
              <w:t>der berechtigten Interessen des Verantwortlichen oder eines Dritten ist</w:t>
            </w:r>
          </w:p>
          <w:p w14:paraId="0F2531E7" w14:textId="77777777" w:rsidR="0026485F" w:rsidRPr="00F45332" w:rsidRDefault="0026485F" w:rsidP="00F45332">
            <w:pPr>
              <w:tabs>
                <w:tab w:val="left" w:pos="285"/>
              </w:tabs>
              <w:jc w:val="both"/>
              <w:rPr>
                <w:rFonts w:ascii="Arial" w:eastAsia="Times New Roman" w:hAnsi="Arial" w:cs="Arial"/>
              </w:rPr>
            </w:pPr>
            <w:bookmarkStart w:id="1" w:name="_GoBack"/>
            <w:bookmarkEnd w:id="1"/>
          </w:p>
          <w:p w14:paraId="1E4F472C" w14:textId="02A76A49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Ggf. Empfänger oder Kategorien von Empfängern, wenn die personenbezogenen Daten der</w:t>
            </w:r>
            <w:r w:rsidR="0026485F">
              <w:rPr>
                <w:rFonts w:ascii="Arial" w:eastAsia="Times New Roman" w:hAnsi="Arial" w:cs="Arial"/>
              </w:rPr>
              <w:t xml:space="preserve"> </w:t>
            </w:r>
            <w:r w:rsidRPr="00BD4EE1">
              <w:rPr>
                <w:rFonts w:ascii="Arial" w:eastAsia="Times New Roman" w:hAnsi="Arial" w:cs="Arial"/>
              </w:rPr>
              <w:t>betroffenen Person an Dritte übermittelt werden (z. B. Datenempfänger: Finanzbehörden)</w:t>
            </w:r>
          </w:p>
          <w:p w14:paraId="626A36AD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3809CA04" w14:textId="113971AD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Ggf. bei Drittstaatentransfer: Die Absicht, personenbezogene Daten in einen Staat außerhalb</w:t>
            </w:r>
            <w:r w:rsidR="0026485F">
              <w:rPr>
                <w:rFonts w:ascii="Arial" w:eastAsia="Times New Roman" w:hAnsi="Arial" w:cs="Arial"/>
              </w:rPr>
              <w:t xml:space="preserve"> </w:t>
            </w:r>
            <w:r w:rsidRPr="00BD4EE1">
              <w:rPr>
                <w:rFonts w:ascii="Arial" w:eastAsia="Times New Roman" w:hAnsi="Arial" w:cs="Arial"/>
              </w:rPr>
              <w:t>der EU/des EWR zu verarbeiten, ist der betroffenen Person mitzuteilen. Ferner ist mitzuteilen,</w:t>
            </w:r>
            <w:r w:rsidR="0026485F">
              <w:rPr>
                <w:rFonts w:ascii="Arial" w:eastAsia="Times New Roman" w:hAnsi="Arial" w:cs="Arial"/>
              </w:rPr>
              <w:t xml:space="preserve"> </w:t>
            </w:r>
            <w:r w:rsidRPr="00BD4EE1">
              <w:rPr>
                <w:rFonts w:ascii="Arial" w:eastAsia="Times New Roman" w:hAnsi="Arial" w:cs="Arial"/>
              </w:rPr>
              <w:t>ob ein Angemessenheitsbeschluss der EU-Kommission vorliegt oder nicht. Liegt kein Angemessenheitsbeschluss vor, muss auf geeignete Garantien des Verantwortlichen oder Auftragsverarbeiters im Drittstaat verwiesen und mitgeteilt werden, wie diese erhältlich sind.</w:t>
            </w:r>
          </w:p>
          <w:p w14:paraId="6A97DC2F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C803DF" w14:textId="7E6DBD50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3D6399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3D6399">
              <w:rPr>
                <w:rFonts w:ascii="Arial" w:eastAsia="Times New Roman" w:hAnsi="Arial" w:cs="Arial"/>
              </w:rPr>
              <w:t>Dauer der Speicherung personenbezogener Daten oder – falls Speicherdauer nicht festgelegt</w:t>
            </w:r>
            <w:r w:rsidR="0026485F">
              <w:rPr>
                <w:rFonts w:ascii="Arial" w:eastAsia="Times New Roman" w:hAnsi="Arial" w:cs="Arial"/>
              </w:rPr>
              <w:t xml:space="preserve"> </w:t>
            </w:r>
            <w:r w:rsidRPr="003D6399">
              <w:rPr>
                <w:rFonts w:ascii="Arial" w:eastAsia="Times New Roman" w:hAnsi="Arial" w:cs="Arial"/>
              </w:rPr>
              <w:t xml:space="preserve">werden kann – die Kriterien für die Festlegung der Dauer </w:t>
            </w:r>
            <w:r w:rsidRPr="003D6399">
              <w:rPr>
                <w:rFonts w:ascii="Arial" w:hAnsi="Arial"/>
              </w:rPr>
              <w:t>(z. B. Hinweis auf ein vorgehaltenes</w:t>
            </w:r>
            <w:r w:rsidR="0026485F">
              <w:rPr>
                <w:rFonts w:ascii="Arial" w:hAnsi="Arial"/>
              </w:rPr>
              <w:t xml:space="preserve"> </w:t>
            </w:r>
            <w:r w:rsidRPr="0026386E">
              <w:rPr>
                <w:rFonts w:ascii="Arial" w:hAnsi="Arial"/>
              </w:rPr>
              <w:t>Aufbewahrungs- und Löschkonzept unter Berücksichtigung der Aufbewahrungspflichten nach</w:t>
            </w:r>
            <w:r w:rsidR="0026485F">
              <w:rPr>
                <w:rFonts w:ascii="Arial" w:hAnsi="Arial"/>
              </w:rPr>
              <w:t xml:space="preserve"> </w:t>
            </w:r>
            <w:r w:rsidRPr="003D6399">
              <w:rPr>
                <w:rFonts w:ascii="Arial" w:hAnsi="Arial"/>
              </w:rPr>
              <w:t>HGB und AO)</w:t>
            </w:r>
          </w:p>
          <w:p w14:paraId="15498AD5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8199C5" w14:textId="2839D09B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Hinweis auf die Rechte der betroffenen Person auf Auskunft, Berichtigung, Löschung, Einschränkung der Datenverarbeitung, Widerspruch gegen Datenverarbeitung sowie auf Datenübertragbarkeit</w:t>
            </w:r>
          </w:p>
          <w:p w14:paraId="1FF51E71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9DA2E7" w14:textId="70D74749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Hinweis auf das Recht zur Beschwerde bei einer Aufsichtsbehörde für den Datenschutz</w:t>
            </w:r>
          </w:p>
          <w:p w14:paraId="4F7F4731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6737CE" w14:textId="48119DA0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Ggf. Hinweis auf die Pflichten des Verantwortlichen, personenbezogene Daten an Dritte bereitzustellen und die möglichen Folgen einer Nichtbereitstellung (z. B. Pflicht zur Bereitstellung</w:t>
            </w:r>
            <w:r w:rsidR="007E4BE1">
              <w:rPr>
                <w:rFonts w:ascii="Arial" w:eastAsia="Times New Roman" w:hAnsi="Arial" w:cs="Arial"/>
              </w:rPr>
              <w:t xml:space="preserve"> </w:t>
            </w:r>
            <w:r w:rsidRPr="00BD4EE1">
              <w:rPr>
                <w:rFonts w:ascii="Arial" w:eastAsia="Times New Roman" w:hAnsi="Arial" w:cs="Arial"/>
              </w:rPr>
              <w:t>unterschriebener Vollmachten des Mandanten)</w:t>
            </w:r>
          </w:p>
          <w:p w14:paraId="63D47D0D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0BCE6A" w14:textId="5606E78C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Ggf. Hinweis auf das Recht, eine zuvor erteilte Einwilligung zu widerrufen, wenn die Einwilligung Rechtsgrundlage der Datenverarbeitung ist</w:t>
            </w:r>
          </w:p>
          <w:p w14:paraId="44FA822A" w14:textId="77777777" w:rsidR="00BD4EE1" w:rsidRPr="00BD4EE1" w:rsidRDefault="00BD4EE1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59604DF0" w14:textId="3BB46BC7" w:rsidR="00BD4EE1" w:rsidRPr="00BD4EE1" w:rsidRDefault="00BD4EE1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 xml:space="preserve">Ggf. Hinweis auf Bestehen einer automatisierten Entscheidungsfindung einschließlich </w:t>
            </w:r>
            <w:proofErr w:type="spellStart"/>
            <w:r w:rsidRPr="00BD4EE1">
              <w:rPr>
                <w:rFonts w:ascii="Arial" w:eastAsia="Times New Roman" w:hAnsi="Arial" w:cs="Arial"/>
              </w:rPr>
              <w:t>Profiling</w:t>
            </w:r>
            <w:proofErr w:type="spellEnd"/>
            <w:r w:rsidRPr="00BD4EE1">
              <w:rPr>
                <w:rFonts w:ascii="Arial" w:eastAsia="Times New Roman" w:hAnsi="Arial" w:cs="Arial"/>
              </w:rPr>
              <w:t xml:space="preserve"> (involvierte Logik, Tragweite und angestrebte Auswirkungen).</w:t>
            </w:r>
          </w:p>
          <w:p w14:paraId="5E9AD15E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E44543" w14:paraId="741ABCE6" w14:textId="77777777" w:rsidTr="0026485F">
        <w:tc>
          <w:tcPr>
            <w:tcW w:w="9627" w:type="dxa"/>
          </w:tcPr>
          <w:p w14:paraId="36DB735F" w14:textId="77777777" w:rsidR="007E4BE1" w:rsidRDefault="007E4BE1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</w:p>
          <w:p w14:paraId="79B1E0A7" w14:textId="1BAE7450" w:rsidR="00E44543" w:rsidRPr="00692904" w:rsidRDefault="00E44543" w:rsidP="007E4BE1">
            <w:pPr>
              <w:tabs>
                <w:tab w:val="left" w:pos="454"/>
              </w:tabs>
              <w:ind w:left="454" w:hanging="454"/>
              <w:jc w:val="both"/>
              <w:rPr>
                <w:rFonts w:ascii="Arial" w:eastAsia="Times New Roman" w:hAnsi="Arial" w:cs="Arial"/>
                <w:b/>
              </w:rPr>
            </w:pPr>
            <w:r w:rsidRPr="00692904">
              <w:rPr>
                <w:rFonts w:ascii="Arial" w:eastAsia="Times New Roman" w:hAnsi="Arial" w:cs="Arial"/>
                <w:b/>
              </w:rPr>
              <w:t>3.</w:t>
            </w:r>
            <w:r w:rsidR="007E4BE1">
              <w:rPr>
                <w:rFonts w:ascii="Arial" w:eastAsia="Times New Roman" w:hAnsi="Arial" w:cs="Arial"/>
                <w:b/>
              </w:rPr>
              <w:tab/>
            </w:r>
            <w:r w:rsidRPr="00692904">
              <w:rPr>
                <w:rFonts w:ascii="Arial" w:eastAsia="Times New Roman" w:hAnsi="Arial" w:cs="Arial"/>
                <w:b/>
              </w:rPr>
              <w:t>Dritterhebung: Datenerhebung bei einem Dritten</w:t>
            </w:r>
          </w:p>
          <w:p w14:paraId="380459AF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9F16186" w14:textId="59828DA1" w:rsidR="00E44543" w:rsidRPr="00692904" w:rsidRDefault="00E44543" w:rsidP="007E4BE1">
            <w:pPr>
              <w:tabs>
                <w:tab w:val="left" w:pos="454"/>
              </w:tabs>
              <w:ind w:left="454" w:hanging="454"/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692904">
              <w:rPr>
                <w:rFonts w:ascii="Arial" w:eastAsia="Times New Roman" w:hAnsi="Arial" w:cs="Arial"/>
                <w:b/>
                <w:i/>
              </w:rPr>
              <w:t>3.1</w:t>
            </w:r>
            <w:r w:rsidR="007E4BE1">
              <w:rPr>
                <w:rFonts w:ascii="Arial" w:eastAsia="Times New Roman" w:hAnsi="Arial" w:cs="Arial"/>
                <w:b/>
                <w:i/>
              </w:rPr>
              <w:tab/>
            </w:r>
            <w:r w:rsidRPr="00692904">
              <w:rPr>
                <w:rFonts w:ascii="Arial" w:eastAsia="Times New Roman" w:hAnsi="Arial" w:cs="Arial"/>
                <w:b/>
                <w:i/>
              </w:rPr>
              <w:t xml:space="preserve">Es besteht </w:t>
            </w:r>
            <w:r w:rsidRPr="00692904">
              <w:rPr>
                <w:rFonts w:ascii="Arial" w:eastAsia="Times New Roman" w:hAnsi="Arial" w:cs="Arial"/>
                <w:b/>
                <w:i/>
                <w:u w:val="single"/>
              </w:rPr>
              <w:t>keine</w:t>
            </w:r>
            <w:r w:rsidRPr="001D5FC5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Pr="00692904">
              <w:rPr>
                <w:rFonts w:ascii="Arial" w:eastAsia="Times New Roman" w:hAnsi="Arial" w:cs="Arial"/>
                <w:b/>
                <w:i/>
              </w:rPr>
              <w:t>Informationspflicht, soweit</w:t>
            </w:r>
          </w:p>
          <w:p w14:paraId="5C370814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FDFCD4A" w14:textId="5F9A8120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 xml:space="preserve">Informationen offenbart würden, die durch einen Mandanten an den Steuerberater als Berufsgeheimnisträger im Rahmen des </w:t>
            </w:r>
            <w:r w:rsidRPr="00057829">
              <w:rPr>
                <w:rFonts w:ascii="Arial" w:eastAsia="Times New Roman" w:hAnsi="Arial" w:cs="Arial"/>
              </w:rPr>
              <w:t>Mandatsverhältnisses</w:t>
            </w:r>
            <w:r>
              <w:rPr>
                <w:rFonts w:ascii="Arial" w:eastAsia="Times New Roman" w:hAnsi="Arial" w:cs="Arial"/>
              </w:rPr>
              <w:t xml:space="preserve"> übermittelt wurden, soweit nicht im Einzelfall das Interesse der betroffenen Person an der Informationserteilung überwiegt,</w:t>
            </w:r>
          </w:p>
          <w:p w14:paraId="07D36BC0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06E49B0" w14:textId="302EAB8B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 xml:space="preserve">auf andere Art und Weise erlangte Informationen offenbart würden, die dem </w:t>
            </w:r>
            <w:r w:rsidRPr="00057829">
              <w:rPr>
                <w:rFonts w:ascii="Arial" w:eastAsia="Times New Roman" w:hAnsi="Arial" w:cs="Arial"/>
              </w:rPr>
              <w:t>Berufsgeheimnis</w:t>
            </w:r>
            <w:r w:rsidR="007E4BE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des Steuerberaters unterliegen, soweit nicht das Interesse der betroffenen Person an der Informationserteilung überwiegt,</w:t>
            </w:r>
          </w:p>
          <w:p w14:paraId="320DC4B2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3FBFBF" w14:textId="6FFBDF69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die betroffene Person über die Information bereits verfügt,</w:t>
            </w:r>
          </w:p>
          <w:p w14:paraId="09ABEF7C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0F2D82" w14:textId="09EC110C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 xml:space="preserve">die Informationserteilung unmöglich ist oder einen unverhältnismäßigen Aufwand erfordert </w:t>
            </w:r>
            <w:r w:rsidR="007E4BE1">
              <w:rPr>
                <w:rFonts w:ascii="Arial" w:eastAsia="Times New Roman" w:hAnsi="Arial" w:cs="Arial"/>
              </w:rPr>
              <w:br/>
            </w:r>
            <w:r w:rsidRPr="00875276">
              <w:rPr>
                <w:rFonts w:ascii="Arial" w:eastAsia="Times New Roman" w:hAnsi="Arial" w:cs="Arial"/>
              </w:rPr>
              <w:t>oder</w:t>
            </w:r>
          </w:p>
          <w:p w14:paraId="7551964F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497987" w14:textId="592BB493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die Informationserteilung die Ausübung oder Verteidigung zivilrechtlicher Ansprüche beeinträchtigen würde und das berechtigte Interesse der betroffenen Person an der Informationserteilung nicht überwiegt.</w:t>
            </w:r>
          </w:p>
          <w:p w14:paraId="60C7FB7E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FEBE51" w14:textId="1F6F300C" w:rsidR="00E44543" w:rsidRPr="00692904" w:rsidRDefault="00E44543" w:rsidP="007E4BE1">
            <w:pPr>
              <w:tabs>
                <w:tab w:val="left" w:pos="454"/>
              </w:tabs>
              <w:ind w:left="454" w:hanging="454"/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692904">
              <w:rPr>
                <w:rFonts w:ascii="Arial" w:eastAsia="Times New Roman" w:hAnsi="Arial" w:cs="Arial"/>
                <w:b/>
                <w:i/>
              </w:rPr>
              <w:t>3.2</w:t>
            </w:r>
            <w:r w:rsidR="007E4BE1">
              <w:rPr>
                <w:rFonts w:ascii="Arial" w:eastAsia="Times New Roman" w:hAnsi="Arial" w:cs="Arial"/>
                <w:b/>
                <w:i/>
              </w:rPr>
              <w:tab/>
            </w:r>
            <w:r w:rsidRPr="00692904">
              <w:rPr>
                <w:rFonts w:ascii="Arial" w:eastAsia="Times New Roman" w:hAnsi="Arial" w:cs="Arial"/>
                <w:b/>
                <w:i/>
              </w:rPr>
              <w:t xml:space="preserve">Ist die Informationspflicht </w:t>
            </w:r>
            <w:r w:rsidRPr="00875276">
              <w:rPr>
                <w:rFonts w:ascii="Arial" w:eastAsia="Times New Roman" w:hAnsi="Arial" w:cs="Arial"/>
                <w:b/>
                <w:i/>
                <w:u w:val="single"/>
              </w:rPr>
              <w:t>nicht</w:t>
            </w:r>
            <w:r w:rsidRPr="00692904">
              <w:rPr>
                <w:rFonts w:ascii="Arial" w:eastAsia="Times New Roman" w:hAnsi="Arial" w:cs="Arial"/>
                <w:b/>
                <w:i/>
              </w:rPr>
              <w:t xml:space="preserve"> gem</w:t>
            </w:r>
            <w:r>
              <w:rPr>
                <w:rFonts w:ascii="Arial" w:eastAsia="Times New Roman" w:hAnsi="Arial" w:cs="Arial"/>
                <w:b/>
                <w:i/>
              </w:rPr>
              <w:t>.</w:t>
            </w:r>
            <w:r w:rsidRPr="00692904">
              <w:rPr>
                <w:rFonts w:ascii="Arial" w:eastAsia="Times New Roman" w:hAnsi="Arial" w:cs="Arial"/>
                <w:b/>
                <w:i/>
              </w:rPr>
              <w:t xml:space="preserve"> Ziff. 3.1 ausgeschlossen, müssen der betroffenen Person folgende Informationen mitgeteilt werden:</w:t>
            </w:r>
          </w:p>
          <w:p w14:paraId="45D7D628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3FA73C" w14:textId="543783AE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 xml:space="preserve">die oben in Ziff. 2 genannten Informationen </w:t>
            </w:r>
            <w:r w:rsidRPr="00692904">
              <w:rPr>
                <w:rFonts w:ascii="Arial" w:eastAsia="Times New Roman" w:hAnsi="Arial" w:cs="Arial"/>
                <w:u w:val="single"/>
              </w:rPr>
              <w:t>und</w:t>
            </w:r>
          </w:p>
          <w:p w14:paraId="18FF4F17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389438" w14:textId="73CD8B9B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073A33"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 xml:space="preserve">die </w:t>
            </w:r>
            <w:r w:rsidRPr="00073A33">
              <w:rPr>
                <w:rFonts w:ascii="Arial" w:eastAsia="Times New Roman" w:hAnsi="Arial" w:cs="Arial"/>
              </w:rPr>
              <w:t>Kategorien der erhobenen personenbezogenen Daten</w:t>
            </w:r>
            <w:r>
              <w:rPr>
                <w:rFonts w:ascii="Arial" w:eastAsia="Times New Roman" w:hAnsi="Arial" w:cs="Arial"/>
              </w:rPr>
              <w:t xml:space="preserve"> (z. B. Namen, Adress- und Kontaktdaten, Bankverbindung, Qualifikationen, Steuermerkmale, Lohngruppen, Arbeitszeiten, Tätigkeitsbereiche, Konfession, Krankmeldungen, gesundheitliche Beeinträchtigungen)</w:t>
            </w:r>
          </w:p>
          <w:p w14:paraId="647B9547" w14:textId="0792F11D" w:rsidR="007E4BE1" w:rsidRPr="00057829" w:rsidRDefault="007E4BE1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0CDCA47" w14:textId="77777777" w:rsidR="003E58DE" w:rsidRDefault="003E58DE" w:rsidP="0026485F">
      <w:pPr>
        <w:ind w:left="284" w:hanging="284"/>
      </w:pPr>
    </w:p>
    <w:sectPr w:rsidR="003E58DE" w:rsidSect="00B71B21">
      <w:pgSz w:w="11906" w:h="16838"/>
      <w:pgMar w:top="2552" w:right="851" w:bottom="21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3A"/>
    <w:rsid w:val="00004EBB"/>
    <w:rsid w:val="000A1BB4"/>
    <w:rsid w:val="0014673A"/>
    <w:rsid w:val="00197242"/>
    <w:rsid w:val="0026386E"/>
    <w:rsid w:val="0026485F"/>
    <w:rsid w:val="00272785"/>
    <w:rsid w:val="00344BBD"/>
    <w:rsid w:val="003D6399"/>
    <w:rsid w:val="003D74AA"/>
    <w:rsid w:val="003E58DE"/>
    <w:rsid w:val="0049459A"/>
    <w:rsid w:val="00612BB2"/>
    <w:rsid w:val="007E4BE1"/>
    <w:rsid w:val="008F2BF5"/>
    <w:rsid w:val="009817BD"/>
    <w:rsid w:val="00A92BC0"/>
    <w:rsid w:val="00B02843"/>
    <w:rsid w:val="00B71B21"/>
    <w:rsid w:val="00BD4EE1"/>
    <w:rsid w:val="00DE2592"/>
    <w:rsid w:val="00E44543"/>
    <w:rsid w:val="00F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FD4C"/>
  <w15:docId w15:val="{37F0B744-4A72-4FDD-BF0E-4BBADEA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D_Standard"/>
    <w:qFormat/>
    <w:rsid w:val="00E4454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44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DE2592"/>
    <w:pPr>
      <w:spacing w:before="0"/>
      <w:ind w:left="567" w:hanging="567"/>
      <w:outlineLvl w:val="1"/>
    </w:pPr>
    <w:rPr>
      <w:rFonts w:ascii="Arial" w:eastAsia="Times New Roman" w:hAnsi="Arial" w:cs="Arial"/>
      <w:bCs w:val="0"/>
      <w:color w:val="auto"/>
      <w:sz w:val="22"/>
      <w:szCs w:val="22"/>
      <w:shd w:val="clear" w:color="auto" w:fill="FFFFFF" w:themeFill="background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E2592"/>
    <w:rPr>
      <w:rFonts w:ascii="Arial" w:eastAsia="Times New Roman" w:hAnsi="Arial" w:cs="Arial"/>
      <w:b/>
    </w:rPr>
  </w:style>
  <w:style w:type="paragraph" w:styleId="Listenabsatz">
    <w:name w:val="List Paragraph"/>
    <w:basedOn w:val="Standard"/>
    <w:uiPriority w:val="34"/>
    <w:qFormat/>
    <w:rsid w:val="00E44543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E4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44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7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4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4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4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4A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E2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3727139a-d8be-4e3c-b29d-77b6ce0e42f2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2724-1098-49D8-9D56-982F4FC529E0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717BE7B-7C96-4165-90A9-854AD280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Gruna, Nicole - BStBK</dc:creator>
  <cp:lastModifiedBy>Fietkau, Kay - BStBK</cp:lastModifiedBy>
  <cp:revision>2</cp:revision>
  <dcterms:created xsi:type="dcterms:W3CDTF">2023-09-13T10:30:00Z</dcterms:created>
  <dcterms:modified xsi:type="dcterms:W3CDTF">2023-09-13T10:30:00Z</dcterms:modified>
</cp:coreProperties>
</file>